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388" w:lineRule="auto"/>
        <w:ind w:left="14" w:right="4721"/>
      </w:pPr>
      <w:r>
        <w:rPr>
          <w:w w:val="145"/>
        </w:rPr>
        <w:t>Natureza Jurídica não encontrada </w:t>
      </w:r>
      <w:r>
        <w:rPr>
          <w:w w:val="140"/>
        </w:rPr>
        <w:t>PREFEITURA</w:t>
      </w:r>
      <w:r>
        <w:rPr>
          <w:spacing w:val="-42"/>
          <w:w w:val="140"/>
        </w:rPr>
        <w:t> </w:t>
      </w:r>
      <w:r>
        <w:rPr>
          <w:w w:val="140"/>
        </w:rPr>
        <w:t>MUNICIPAL</w:t>
      </w:r>
      <w:r>
        <w:rPr>
          <w:spacing w:val="-41"/>
          <w:w w:val="140"/>
        </w:rPr>
        <w:t> </w:t>
      </w:r>
      <w:r>
        <w:rPr>
          <w:w w:val="140"/>
        </w:rPr>
        <w:t>DE</w:t>
      </w:r>
      <w:r>
        <w:rPr>
          <w:spacing w:val="-41"/>
          <w:w w:val="140"/>
        </w:rPr>
        <w:t> </w:t>
      </w:r>
      <w:r>
        <w:rPr>
          <w:w w:val="140"/>
        </w:rPr>
        <w:t>INHACORA</w:t>
      </w:r>
    </w:p>
    <w:p>
      <w:pPr>
        <w:pStyle w:val="Heading1"/>
        <w:spacing w:line="161" w:lineRule="exact"/>
      </w:pPr>
      <w:r>
        <w:rPr/>
        <w:t>LEI DE DIRETRIZES ORÇAMENTÁRIAS 2021</w:t>
      </w:r>
    </w:p>
    <w:p>
      <w:pPr>
        <w:spacing w:before="34"/>
        <w:ind w:left="14" w:right="0" w:firstLine="0"/>
        <w:jc w:val="left"/>
        <w:rPr>
          <w:sz w:val="19"/>
        </w:rPr>
      </w:pPr>
      <w:r>
        <w:rPr>
          <w:w w:val="95"/>
          <w:sz w:val="19"/>
        </w:rPr>
        <w:t>Demonstrativo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da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Receita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e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Despesa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segundo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as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Categorias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Econômicas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(conforme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Anexo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1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da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Lei</w:t>
      </w:r>
      <w:r>
        <w:rPr>
          <w:spacing w:val="-10"/>
          <w:w w:val="95"/>
          <w:sz w:val="19"/>
        </w:rPr>
        <w:t> </w:t>
      </w:r>
      <w:r>
        <w:rPr>
          <w:w w:val="95"/>
          <w:sz w:val="19"/>
        </w:rPr>
        <w:t>nº</w:t>
      </w:r>
      <w:r>
        <w:rPr>
          <w:spacing w:val="-11"/>
          <w:w w:val="95"/>
          <w:sz w:val="19"/>
        </w:rPr>
        <w:t> </w:t>
      </w:r>
      <w:r>
        <w:rPr>
          <w:w w:val="95"/>
          <w:sz w:val="19"/>
        </w:rPr>
        <w:t>4.320/64)</w:t>
      </w:r>
    </w:p>
    <w:p>
      <w:pPr>
        <w:pStyle w:val="BodyText"/>
        <w:spacing w:line="300" w:lineRule="auto" w:before="20"/>
        <w:ind w:left="-19" w:firstLine="374"/>
      </w:pPr>
      <w:r>
        <w:rPr/>
        <w:br w:type="column"/>
      </w:r>
      <w:r>
        <w:rPr>
          <w:w w:val="90"/>
        </w:rPr>
        <w:t>Página: 1/1 Data: 17/12/2020</w:t>
      </w:r>
    </w:p>
    <w:p>
      <w:pPr>
        <w:spacing w:after="0" w:line="300" w:lineRule="auto"/>
        <w:sectPr>
          <w:type w:val="continuous"/>
          <w:pgSz w:w="11900" w:h="16840"/>
          <w:pgMar w:top="0" w:bottom="280" w:left="0" w:right="1680"/>
          <w:cols w:num="2" w:equalWidth="0">
            <w:col w:w="8950" w:space="40"/>
            <w:col w:w="1230"/>
          </w:cols>
        </w:sectPr>
      </w:pPr>
    </w:p>
    <w:p>
      <w:pPr>
        <w:pStyle w:val="BodyText"/>
        <w:spacing w:before="6"/>
        <w:rPr>
          <w:sz w:val="26"/>
        </w:rPr>
      </w:pPr>
    </w:p>
    <w:tbl>
      <w:tblPr>
        <w:tblW w:w="0" w:type="auto"/>
        <w:jc w:val="left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2"/>
        <w:gridCol w:w="871"/>
        <w:gridCol w:w="494"/>
        <w:gridCol w:w="660"/>
        <w:gridCol w:w="3171"/>
        <w:gridCol w:w="1233"/>
        <w:gridCol w:w="630"/>
      </w:tblGrid>
      <w:tr>
        <w:trPr>
          <w:trHeight w:val="448" w:hRule="atLeast"/>
        </w:trPr>
        <w:tc>
          <w:tcPr>
            <w:tcW w:w="3873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line="100" w:lineRule="exact" w:before="0"/>
              <w:ind w:left="7"/>
              <w:rPr>
                <w:sz w:val="10"/>
              </w:rPr>
            </w:pPr>
            <w:r>
              <w:rPr>
                <w:w w:val="110"/>
                <w:sz w:val="10"/>
              </w:rPr>
              <w:t>Seleção: Alteração em 30/10/2020 (C)</w:t>
            </w:r>
          </w:p>
        </w:tc>
        <w:tc>
          <w:tcPr>
            <w:tcW w:w="6188" w:type="dxa"/>
            <w:gridSpan w:val="5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68" w:hRule="atLeast"/>
        </w:trPr>
        <w:tc>
          <w:tcPr>
            <w:tcW w:w="387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39"/>
              <w:ind w:left="35"/>
              <w:rPr>
                <w:sz w:val="16"/>
              </w:rPr>
            </w:pPr>
            <w:r>
              <w:rPr>
                <w:sz w:val="16"/>
              </w:rPr>
              <w:t>Receitas</w:t>
            </w:r>
          </w:p>
        </w:tc>
        <w:tc>
          <w:tcPr>
            <w:tcW w:w="115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9"/>
              <w:ind w:right="27"/>
              <w:jc w:val="right"/>
              <w:rPr>
                <w:sz w:val="16"/>
              </w:rPr>
            </w:pPr>
            <w:r>
              <w:rPr>
                <w:w w:val="85"/>
                <w:sz w:val="16"/>
              </w:rPr>
              <w:t>Valor</w:t>
            </w:r>
          </w:p>
        </w:tc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39"/>
              <w:ind w:left="48"/>
              <w:rPr>
                <w:sz w:val="16"/>
              </w:rPr>
            </w:pPr>
            <w:r>
              <w:rPr>
                <w:sz w:val="16"/>
              </w:rPr>
              <w:t>Despesas</w:t>
            </w:r>
          </w:p>
        </w:tc>
        <w:tc>
          <w:tcPr>
            <w:tcW w:w="186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39"/>
              <w:ind w:right="5"/>
              <w:jc w:val="right"/>
              <w:rPr>
                <w:sz w:val="16"/>
              </w:rPr>
            </w:pPr>
            <w:r>
              <w:rPr>
                <w:w w:val="85"/>
                <w:sz w:val="16"/>
              </w:rPr>
              <w:t>Valor</w:t>
            </w:r>
          </w:p>
        </w:tc>
      </w:tr>
      <w:tr>
        <w:trPr>
          <w:trHeight w:val="240" w:hRule="atLeast"/>
        </w:trPr>
        <w:tc>
          <w:tcPr>
            <w:tcW w:w="3873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21"/>
              <w:rPr>
                <w:sz w:val="16"/>
              </w:rPr>
            </w:pPr>
            <w:r>
              <w:rPr>
                <w:sz w:val="16"/>
              </w:rPr>
              <w:t>Receitas Correntes</w:t>
            </w:r>
          </w:p>
        </w:tc>
        <w:tc>
          <w:tcPr>
            <w:tcW w:w="1154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202"/>
              <w:rPr>
                <w:sz w:val="16"/>
              </w:rPr>
            </w:pPr>
            <w:r>
              <w:rPr>
                <w:w w:val="90"/>
                <w:sz w:val="16"/>
              </w:rPr>
              <w:t>19.668.656,56</w:t>
            </w:r>
          </w:p>
        </w:tc>
        <w:tc>
          <w:tcPr>
            <w:tcW w:w="317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56"/>
              <w:rPr>
                <w:sz w:val="16"/>
              </w:rPr>
            </w:pPr>
            <w:r>
              <w:rPr>
                <w:sz w:val="16"/>
              </w:rPr>
              <w:t>DESPESAS CORRENTES</w:t>
            </w:r>
          </w:p>
        </w:tc>
        <w:tc>
          <w:tcPr>
            <w:tcW w:w="1863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32"/>
              <w:ind w:left="938"/>
              <w:rPr>
                <w:sz w:val="16"/>
              </w:rPr>
            </w:pPr>
            <w:r>
              <w:rPr>
                <w:w w:val="90"/>
                <w:sz w:val="16"/>
              </w:rPr>
              <w:t>15.817.200,48</w:t>
            </w:r>
          </w:p>
        </w:tc>
      </w:tr>
      <w:tr>
        <w:trPr>
          <w:trHeight w:val="216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Impostos, Taxas e Contribuições de Melhoria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01"/>
              <w:rPr>
                <w:sz w:val="16"/>
              </w:rPr>
            </w:pPr>
            <w:r>
              <w:rPr>
                <w:w w:val="90"/>
                <w:sz w:val="16"/>
              </w:rPr>
              <w:t>769.044,54</w:t>
            </w:r>
          </w:p>
        </w:tc>
        <w:tc>
          <w:tcPr>
            <w:tcW w:w="3171" w:type="dxa"/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>PESSOAL E ENCARGOS SOCIAIS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ind w:left="1018"/>
              <w:rPr>
                <w:sz w:val="16"/>
              </w:rPr>
            </w:pPr>
            <w:r>
              <w:rPr>
                <w:w w:val="90"/>
                <w:sz w:val="16"/>
              </w:rPr>
              <w:t>8.071.298,79</w:t>
            </w: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Contribuições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80"/>
              <w:rPr>
                <w:sz w:val="16"/>
              </w:rPr>
            </w:pPr>
            <w:r>
              <w:rPr>
                <w:w w:val="90"/>
                <w:sz w:val="16"/>
              </w:rPr>
              <w:t>38.000,00</w:t>
            </w:r>
          </w:p>
        </w:tc>
        <w:tc>
          <w:tcPr>
            <w:tcW w:w="3171" w:type="dxa"/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>Juros e Encargos da Divida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ind w:left="1217"/>
              <w:rPr>
                <w:sz w:val="16"/>
              </w:rPr>
            </w:pPr>
            <w:r>
              <w:rPr>
                <w:w w:val="90"/>
                <w:sz w:val="16"/>
              </w:rPr>
              <w:t>53.859,55</w:t>
            </w: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Receita Patrimonial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80"/>
              <w:rPr>
                <w:sz w:val="16"/>
              </w:rPr>
            </w:pPr>
            <w:r>
              <w:rPr>
                <w:w w:val="90"/>
                <w:sz w:val="16"/>
              </w:rPr>
              <w:t>40.952,75</w:t>
            </w:r>
          </w:p>
        </w:tc>
        <w:tc>
          <w:tcPr>
            <w:tcW w:w="3171" w:type="dxa"/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>OUTRAS DESPESAS CORRENTES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ind w:left="1018"/>
              <w:rPr>
                <w:sz w:val="16"/>
              </w:rPr>
            </w:pPr>
            <w:r>
              <w:rPr>
                <w:w w:val="90"/>
                <w:sz w:val="16"/>
              </w:rPr>
              <w:t>7.692.042,14</w:t>
            </w: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Receita Agropecuária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80"/>
              <w:rPr>
                <w:sz w:val="16"/>
              </w:rPr>
            </w:pPr>
            <w:r>
              <w:rPr>
                <w:w w:val="90"/>
                <w:sz w:val="16"/>
              </w:rPr>
              <w:t>31.951,00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Receita de Serviços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01"/>
              <w:rPr>
                <w:sz w:val="16"/>
              </w:rPr>
            </w:pPr>
            <w:r>
              <w:rPr>
                <w:w w:val="90"/>
                <w:sz w:val="16"/>
              </w:rPr>
              <w:t>669.535,59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Transferências Correntes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202"/>
              <w:rPr>
                <w:sz w:val="16"/>
              </w:rPr>
            </w:pPr>
            <w:r>
              <w:rPr>
                <w:w w:val="90"/>
                <w:sz w:val="16"/>
              </w:rPr>
              <w:t>17.703.004,79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Outras Receitas Correntes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01"/>
              <w:rPr>
                <w:sz w:val="16"/>
              </w:rPr>
            </w:pPr>
            <w:r>
              <w:rPr>
                <w:w w:val="90"/>
                <w:sz w:val="16"/>
              </w:rPr>
              <w:t>416.167,89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21"/>
              <w:rPr>
                <w:sz w:val="16"/>
              </w:rPr>
            </w:pPr>
            <w:r>
              <w:rPr>
                <w:sz w:val="16"/>
              </w:rPr>
              <w:t>DEDUÇÕES DA RECEITA CORRENTE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233"/>
              <w:rPr>
                <w:sz w:val="16"/>
              </w:rPr>
            </w:pPr>
            <w:r>
              <w:rPr>
                <w:w w:val="90"/>
                <w:sz w:val="16"/>
              </w:rPr>
              <w:t>-2.412.520,00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w w:val="95"/>
                <w:sz w:val="16"/>
              </w:rPr>
              <w:t>(R)IMPOSTOS, TAXAS E CONTRIBUIÇÕES DE MEL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32"/>
              <w:rPr>
                <w:sz w:val="16"/>
              </w:rPr>
            </w:pPr>
            <w:r>
              <w:rPr>
                <w:w w:val="90"/>
                <w:sz w:val="16"/>
              </w:rPr>
              <w:t>-19.900,00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394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w w:val="95"/>
                <w:sz w:val="16"/>
              </w:rPr>
              <w:t>(R)DEDUCOES RECEITA TRANSFERÊNCIA CORRE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233"/>
              <w:rPr>
                <w:sz w:val="16"/>
              </w:rPr>
            </w:pPr>
            <w:r>
              <w:rPr>
                <w:w w:val="90"/>
                <w:sz w:val="16"/>
              </w:rPr>
              <w:t>-2.392.620,00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before="1"/>
              <w:ind w:right="34"/>
              <w:jc w:val="right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</w:p>
        </w:tc>
      </w:tr>
      <w:tr>
        <w:trPr>
          <w:trHeight w:val="231" w:hRule="atLeast"/>
        </w:trPr>
        <w:tc>
          <w:tcPr>
            <w:tcW w:w="387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171" w:type="dxa"/>
          </w:tcPr>
          <w:p>
            <w:pPr>
              <w:pStyle w:val="TableParagraph"/>
              <w:spacing w:before="15"/>
              <w:ind w:left="56"/>
              <w:rPr>
                <w:sz w:val="16"/>
              </w:rPr>
            </w:pPr>
            <w:r>
              <w:rPr>
                <w:sz w:val="16"/>
              </w:rPr>
              <w:t>Superavit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15"/>
              <w:ind w:left="1015"/>
              <w:rPr>
                <w:sz w:val="16"/>
              </w:rPr>
            </w:pPr>
            <w:r>
              <w:rPr>
                <w:w w:val="90"/>
                <w:sz w:val="16"/>
              </w:rPr>
              <w:t>1.438.936,08</w:t>
            </w:r>
          </w:p>
        </w:tc>
      </w:tr>
      <w:tr>
        <w:trPr>
          <w:trHeight w:val="230" w:hRule="atLeast"/>
        </w:trPr>
        <w:tc>
          <w:tcPr>
            <w:tcW w:w="3873" w:type="dxa"/>
            <w:gridSpan w:val="2"/>
          </w:tcPr>
          <w:p>
            <w:pPr>
              <w:pStyle w:val="TableParagraph"/>
              <w:spacing w:before="14"/>
              <w:ind w:left="35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before="14"/>
              <w:ind w:left="199"/>
              <w:rPr>
                <w:sz w:val="16"/>
              </w:rPr>
            </w:pPr>
            <w:r>
              <w:rPr>
                <w:w w:val="90"/>
                <w:sz w:val="16"/>
              </w:rPr>
              <w:t>17.256.136,56</w:t>
            </w:r>
          </w:p>
        </w:tc>
        <w:tc>
          <w:tcPr>
            <w:tcW w:w="3171" w:type="dxa"/>
          </w:tcPr>
          <w:p>
            <w:pPr>
              <w:pStyle w:val="TableParagraph"/>
              <w:spacing w:before="14"/>
              <w:ind w:left="56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14"/>
              <w:ind w:left="936"/>
              <w:rPr>
                <w:sz w:val="16"/>
              </w:rPr>
            </w:pPr>
            <w:r>
              <w:rPr>
                <w:w w:val="90"/>
                <w:sz w:val="16"/>
              </w:rPr>
              <w:t>17.256.136,56</w:t>
            </w:r>
          </w:p>
        </w:tc>
      </w:tr>
      <w:tr>
        <w:trPr>
          <w:trHeight w:val="325" w:hRule="atLeast"/>
        </w:trPr>
        <w:tc>
          <w:tcPr>
            <w:tcW w:w="3873" w:type="dxa"/>
            <w:gridSpan w:val="2"/>
          </w:tcPr>
          <w:p>
            <w:pPr>
              <w:pStyle w:val="TableParagraph"/>
              <w:spacing w:before="14"/>
              <w:ind w:left="35"/>
              <w:rPr>
                <w:sz w:val="16"/>
              </w:rPr>
            </w:pPr>
            <w:r>
              <w:rPr>
                <w:sz w:val="16"/>
              </w:rPr>
              <w:t>Superavit do orçamento corrente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before="14"/>
              <w:ind w:left="279"/>
              <w:rPr>
                <w:sz w:val="16"/>
              </w:rPr>
            </w:pPr>
            <w:r>
              <w:rPr>
                <w:w w:val="90"/>
                <w:sz w:val="16"/>
              </w:rPr>
              <w:t>1.438.936,08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317" w:hRule="atLeast"/>
        </w:trPr>
        <w:tc>
          <w:tcPr>
            <w:tcW w:w="3873" w:type="dxa"/>
            <w:gridSpan w:val="2"/>
          </w:tcPr>
          <w:p>
            <w:pPr>
              <w:pStyle w:val="TableParagraph"/>
              <w:spacing w:before="109"/>
              <w:ind w:left="21"/>
              <w:rPr>
                <w:sz w:val="16"/>
              </w:rPr>
            </w:pPr>
            <w:r>
              <w:rPr>
                <w:sz w:val="16"/>
              </w:rPr>
              <w:t>Receitas de Capital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before="109"/>
              <w:ind w:left="401"/>
              <w:rPr>
                <w:sz w:val="16"/>
              </w:rPr>
            </w:pPr>
            <w:r>
              <w:rPr>
                <w:w w:val="90"/>
                <w:sz w:val="16"/>
              </w:rPr>
              <w:t>685.361,60</w:t>
            </w:r>
          </w:p>
        </w:tc>
        <w:tc>
          <w:tcPr>
            <w:tcW w:w="3171" w:type="dxa"/>
          </w:tcPr>
          <w:p>
            <w:pPr>
              <w:pStyle w:val="TableParagraph"/>
              <w:spacing w:before="109"/>
              <w:ind w:left="56"/>
              <w:rPr>
                <w:sz w:val="16"/>
              </w:rPr>
            </w:pPr>
            <w:r>
              <w:rPr>
                <w:sz w:val="16"/>
              </w:rPr>
              <w:t>DESPESAS DE CAPITAL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109"/>
              <w:ind w:left="1018"/>
              <w:rPr>
                <w:sz w:val="16"/>
              </w:rPr>
            </w:pPr>
            <w:r>
              <w:rPr>
                <w:w w:val="90"/>
                <w:sz w:val="16"/>
              </w:rPr>
              <w:t>1.602.000,52</w:t>
            </w:r>
          </w:p>
        </w:tc>
      </w:tr>
      <w:tr>
        <w:trPr>
          <w:trHeight w:val="216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Operações de Crédito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559"/>
              <w:rPr>
                <w:sz w:val="16"/>
              </w:rPr>
            </w:pPr>
            <w:r>
              <w:rPr>
                <w:w w:val="90"/>
                <w:sz w:val="16"/>
              </w:rPr>
              <w:t>1.042,30</w:t>
            </w:r>
          </w:p>
        </w:tc>
        <w:tc>
          <w:tcPr>
            <w:tcW w:w="3171" w:type="dxa"/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>INVESTIMENTOS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ind w:left="1018"/>
              <w:rPr>
                <w:sz w:val="16"/>
              </w:rPr>
            </w:pPr>
            <w:r>
              <w:rPr>
                <w:w w:val="90"/>
                <w:sz w:val="16"/>
              </w:rPr>
              <w:t>1.433.796,49</w:t>
            </w:r>
          </w:p>
        </w:tc>
      </w:tr>
      <w:tr>
        <w:trPr>
          <w:trHeight w:val="216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Alienação de Bens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80"/>
              <w:rPr>
                <w:sz w:val="16"/>
              </w:rPr>
            </w:pPr>
            <w:r>
              <w:rPr>
                <w:w w:val="90"/>
                <w:sz w:val="16"/>
              </w:rPr>
              <w:t>12.466,30</w:t>
            </w:r>
          </w:p>
        </w:tc>
        <w:tc>
          <w:tcPr>
            <w:tcW w:w="3171" w:type="dxa"/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>Inversões Financeiras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ind w:left="1217"/>
              <w:rPr>
                <w:sz w:val="16"/>
              </w:rPr>
            </w:pPr>
            <w:r>
              <w:rPr>
                <w:w w:val="90"/>
                <w:sz w:val="16"/>
              </w:rPr>
              <w:t>13.204,03</w:t>
            </w:r>
          </w:p>
        </w:tc>
      </w:tr>
      <w:tr>
        <w:trPr>
          <w:trHeight w:val="215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Transferências de Capital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401"/>
              <w:rPr>
                <w:sz w:val="16"/>
              </w:rPr>
            </w:pPr>
            <w:r>
              <w:rPr>
                <w:w w:val="90"/>
                <w:sz w:val="16"/>
              </w:rPr>
              <w:t>665.157,00</w:t>
            </w:r>
          </w:p>
        </w:tc>
        <w:tc>
          <w:tcPr>
            <w:tcW w:w="3171" w:type="dxa"/>
          </w:tcPr>
          <w:p>
            <w:pPr>
              <w:pStyle w:val="TableParagraph"/>
              <w:ind w:left="217"/>
              <w:rPr>
                <w:sz w:val="16"/>
              </w:rPr>
            </w:pPr>
            <w:r>
              <w:rPr>
                <w:sz w:val="16"/>
              </w:rPr>
              <w:t>Amortização da Dívida</w:t>
            </w:r>
          </w:p>
        </w:tc>
        <w:tc>
          <w:tcPr>
            <w:tcW w:w="1863" w:type="dxa"/>
            <w:gridSpan w:val="2"/>
          </w:tcPr>
          <w:p>
            <w:pPr>
              <w:pStyle w:val="TableParagraph"/>
              <w:ind w:left="1138"/>
              <w:rPr>
                <w:sz w:val="16"/>
              </w:rPr>
            </w:pPr>
            <w:r>
              <w:rPr>
                <w:w w:val="90"/>
                <w:sz w:val="16"/>
              </w:rPr>
              <w:t>155.000,00</w:t>
            </w:r>
          </w:p>
        </w:tc>
      </w:tr>
      <w:tr>
        <w:trPr>
          <w:trHeight w:val="404" w:hRule="atLeast"/>
        </w:trPr>
        <w:tc>
          <w:tcPr>
            <w:tcW w:w="3873" w:type="dxa"/>
            <w:gridSpan w:val="2"/>
          </w:tcPr>
          <w:p>
            <w:pPr>
              <w:pStyle w:val="TableParagraph"/>
              <w:ind w:left="182"/>
              <w:rPr>
                <w:sz w:val="16"/>
              </w:rPr>
            </w:pPr>
            <w:r>
              <w:rPr>
                <w:sz w:val="16"/>
              </w:rPr>
              <w:t>Outras Receitas de Capital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ind w:left="559"/>
              <w:rPr>
                <w:sz w:val="16"/>
              </w:rPr>
            </w:pPr>
            <w:r>
              <w:rPr>
                <w:w w:val="90"/>
                <w:sz w:val="16"/>
              </w:rPr>
              <w:t>6.696,00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spacing w:before="0"/>
              <w:ind w:right="34"/>
              <w:jc w:val="right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</w:p>
        </w:tc>
      </w:tr>
      <w:tr>
        <w:trPr>
          <w:trHeight w:val="237" w:hRule="atLeast"/>
        </w:trPr>
        <w:tc>
          <w:tcPr>
            <w:tcW w:w="3873" w:type="dxa"/>
            <w:gridSpan w:val="2"/>
          </w:tcPr>
          <w:p>
            <w:pPr>
              <w:pStyle w:val="TableParagraph"/>
              <w:spacing w:before="22"/>
              <w:ind w:left="35"/>
              <w:rPr>
                <w:sz w:val="16"/>
              </w:rPr>
            </w:pPr>
            <w:r>
              <w:rPr>
                <w:sz w:val="16"/>
              </w:rPr>
              <w:t>Deficit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before="22"/>
              <w:ind w:left="399"/>
              <w:rPr>
                <w:sz w:val="16"/>
              </w:rPr>
            </w:pPr>
            <w:r>
              <w:rPr>
                <w:w w:val="90"/>
                <w:sz w:val="16"/>
              </w:rPr>
              <w:t>916.638,92</w:t>
            </w:r>
          </w:p>
        </w:tc>
        <w:tc>
          <w:tcPr>
            <w:tcW w:w="317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>
        <w:trPr>
          <w:trHeight w:val="268" w:hRule="atLeast"/>
        </w:trPr>
        <w:tc>
          <w:tcPr>
            <w:tcW w:w="3873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35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154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279"/>
              <w:rPr>
                <w:sz w:val="16"/>
              </w:rPr>
            </w:pPr>
            <w:r>
              <w:rPr>
                <w:w w:val="90"/>
                <w:sz w:val="16"/>
              </w:rPr>
              <w:t>1.602.000,52</w:t>
            </w:r>
          </w:p>
        </w:tc>
        <w:tc>
          <w:tcPr>
            <w:tcW w:w="317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56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  <w:tc>
          <w:tcPr>
            <w:tcW w:w="1863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spacing w:before="13"/>
              <w:ind w:left="1015"/>
              <w:rPr>
                <w:sz w:val="16"/>
              </w:rPr>
            </w:pPr>
            <w:r>
              <w:rPr>
                <w:w w:val="90"/>
                <w:sz w:val="16"/>
              </w:rPr>
              <w:t>1.602.000,52</w:t>
            </w:r>
          </w:p>
        </w:tc>
      </w:tr>
      <w:tr>
        <w:trPr>
          <w:trHeight w:val="297" w:hRule="atLeast"/>
        </w:trPr>
        <w:tc>
          <w:tcPr>
            <w:tcW w:w="10061" w:type="dxa"/>
            <w:gridSpan w:val="7"/>
          </w:tcPr>
          <w:p>
            <w:pPr>
              <w:pStyle w:val="TableParagraph"/>
              <w:spacing w:before="53"/>
              <w:ind w:left="4747" w:right="4678"/>
              <w:jc w:val="center"/>
              <w:rPr>
                <w:sz w:val="16"/>
              </w:rPr>
            </w:pPr>
            <w:r>
              <w:rPr>
                <w:sz w:val="16"/>
              </w:rPr>
              <w:t>Resumo</w:t>
            </w:r>
          </w:p>
        </w:tc>
      </w:tr>
      <w:tr>
        <w:trPr>
          <w:trHeight w:val="303" w:hRule="atLeast"/>
        </w:trPr>
        <w:tc>
          <w:tcPr>
            <w:tcW w:w="300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left="33"/>
              <w:rPr>
                <w:sz w:val="16"/>
              </w:rPr>
            </w:pPr>
            <w:r>
              <w:rPr>
                <w:sz w:val="16"/>
              </w:rPr>
              <w:t>Receitas Correntes</w:t>
            </w:r>
          </w:p>
        </w:tc>
        <w:tc>
          <w:tcPr>
            <w:tcW w:w="1365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left="401"/>
              <w:rPr>
                <w:sz w:val="16"/>
              </w:rPr>
            </w:pPr>
            <w:r>
              <w:rPr>
                <w:w w:val="90"/>
                <w:sz w:val="16"/>
              </w:rPr>
              <w:t>19.668.656,56</w:t>
            </w:r>
          </w:p>
        </w:tc>
        <w:tc>
          <w:tcPr>
            <w:tcW w:w="3831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left="51"/>
              <w:rPr>
                <w:sz w:val="16"/>
              </w:rPr>
            </w:pPr>
            <w:r>
              <w:rPr>
                <w:sz w:val="16"/>
              </w:rPr>
              <w:t>109,63 % DESPESAS CORRENTES</w:t>
            </w:r>
          </w:p>
        </w:tc>
        <w:tc>
          <w:tcPr>
            <w:tcW w:w="123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right="8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15.817.200,48</w:t>
            </w:r>
          </w:p>
        </w:tc>
        <w:tc>
          <w:tcPr>
            <w:tcW w:w="630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94"/>
              <w:ind w:right="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89,24 %</w:t>
            </w:r>
          </w:p>
        </w:tc>
      </w:tr>
      <w:tr>
        <w:trPr>
          <w:trHeight w:val="215" w:hRule="atLeast"/>
        </w:trPr>
        <w:tc>
          <w:tcPr>
            <w:tcW w:w="3002" w:type="dxa"/>
          </w:tcPr>
          <w:p>
            <w:pPr>
              <w:pStyle w:val="TableParagraph"/>
              <w:ind w:left="33"/>
              <w:rPr>
                <w:sz w:val="16"/>
              </w:rPr>
            </w:pPr>
            <w:r>
              <w:rPr>
                <w:sz w:val="16"/>
              </w:rPr>
              <w:t>Receitas de Capital</w:t>
            </w:r>
          </w:p>
        </w:tc>
        <w:tc>
          <w:tcPr>
            <w:tcW w:w="1365" w:type="dxa"/>
            <w:gridSpan w:val="2"/>
          </w:tcPr>
          <w:p>
            <w:pPr>
              <w:pStyle w:val="TableParagraph"/>
              <w:ind w:left="600"/>
              <w:rPr>
                <w:sz w:val="16"/>
              </w:rPr>
            </w:pPr>
            <w:r>
              <w:rPr>
                <w:w w:val="90"/>
                <w:sz w:val="16"/>
              </w:rPr>
              <w:t>685.361,60</w:t>
            </w:r>
          </w:p>
        </w:tc>
        <w:tc>
          <w:tcPr>
            <w:tcW w:w="3831" w:type="dxa"/>
            <w:gridSpan w:val="2"/>
          </w:tcPr>
          <w:p>
            <w:pPr>
              <w:pStyle w:val="TableParagraph"/>
              <w:ind w:left="209"/>
              <w:rPr>
                <w:sz w:val="16"/>
              </w:rPr>
            </w:pPr>
            <w:r>
              <w:rPr>
                <w:sz w:val="16"/>
              </w:rPr>
              <w:t>3,82 % DESPESAS DE CAPITAL</w:t>
            </w:r>
          </w:p>
        </w:tc>
        <w:tc>
          <w:tcPr>
            <w:tcW w:w="1233" w:type="dxa"/>
          </w:tcPr>
          <w:p>
            <w:pPr>
              <w:pStyle w:val="TableParagraph"/>
              <w:ind w:right="8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1.602.000,52</w:t>
            </w:r>
          </w:p>
        </w:tc>
        <w:tc>
          <w:tcPr>
            <w:tcW w:w="630" w:type="dxa"/>
          </w:tcPr>
          <w:p>
            <w:pPr>
              <w:pStyle w:val="TableParagraph"/>
              <w:ind w:right="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9,04 %</w:t>
            </w:r>
          </w:p>
        </w:tc>
      </w:tr>
      <w:tr>
        <w:trPr>
          <w:trHeight w:val="188" w:hRule="atLeast"/>
        </w:trPr>
        <w:tc>
          <w:tcPr>
            <w:tcW w:w="3002" w:type="dxa"/>
          </w:tcPr>
          <w:p>
            <w:pPr>
              <w:pStyle w:val="TableParagraph"/>
              <w:spacing w:line="161" w:lineRule="exact"/>
              <w:ind w:left="33"/>
              <w:rPr>
                <w:sz w:val="16"/>
              </w:rPr>
            </w:pPr>
            <w:r>
              <w:rPr>
                <w:sz w:val="16"/>
              </w:rPr>
              <w:t>DEDUÇÕES DA RECEITA CORRENTE</w:t>
            </w:r>
          </w:p>
        </w:tc>
        <w:tc>
          <w:tcPr>
            <w:tcW w:w="1365" w:type="dxa"/>
            <w:gridSpan w:val="2"/>
          </w:tcPr>
          <w:p>
            <w:pPr>
              <w:pStyle w:val="TableParagraph"/>
              <w:spacing w:line="161" w:lineRule="exact"/>
              <w:ind w:left="432"/>
              <w:rPr>
                <w:sz w:val="16"/>
              </w:rPr>
            </w:pPr>
            <w:r>
              <w:rPr>
                <w:w w:val="90"/>
                <w:sz w:val="16"/>
              </w:rPr>
              <w:t>-2.412.520,00</w:t>
            </w:r>
          </w:p>
        </w:tc>
        <w:tc>
          <w:tcPr>
            <w:tcW w:w="3831" w:type="dxa"/>
            <w:gridSpan w:val="2"/>
          </w:tcPr>
          <w:p>
            <w:pPr>
              <w:pStyle w:val="TableParagraph"/>
              <w:spacing w:line="161" w:lineRule="exact"/>
              <w:ind w:left="82"/>
              <w:rPr>
                <w:sz w:val="16"/>
              </w:rPr>
            </w:pPr>
            <w:r>
              <w:rPr>
                <w:w w:val="95"/>
                <w:sz w:val="16"/>
              </w:rPr>
              <w:t>-13,45 % RESERVA DE CONTIGÊNCIA E RESERVA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1233" w:type="dxa"/>
          </w:tcPr>
          <w:p>
            <w:pPr>
              <w:pStyle w:val="TableParagraph"/>
              <w:spacing w:line="161" w:lineRule="exact"/>
              <w:ind w:right="81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305.000,00</w:t>
            </w:r>
          </w:p>
        </w:tc>
        <w:tc>
          <w:tcPr>
            <w:tcW w:w="630" w:type="dxa"/>
          </w:tcPr>
          <w:p>
            <w:pPr>
              <w:pStyle w:val="TableParagraph"/>
              <w:spacing w:line="161" w:lineRule="exact"/>
              <w:ind w:right="3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1,72 %</w:t>
            </w:r>
          </w:p>
        </w:tc>
      </w:tr>
    </w:tbl>
    <w:p>
      <w:pPr>
        <w:pStyle w:val="BodyText"/>
        <w:tabs>
          <w:tab w:pos="8654" w:val="left" w:leader="none"/>
        </w:tabs>
        <w:spacing w:before="87"/>
        <w:ind w:left="5076"/>
      </w:pPr>
      <w:r>
        <w:rPr>
          <w:w w:val="95"/>
        </w:rPr>
        <w:t>Superavit</w:t>
      </w:r>
      <w:r>
        <w:rPr>
          <w:spacing w:val="-24"/>
          <w:w w:val="95"/>
        </w:rPr>
        <w:t> </w:t>
      </w:r>
      <w:r>
        <w:rPr>
          <w:w w:val="95"/>
        </w:rPr>
        <w:t>do</w:t>
      </w:r>
      <w:r>
        <w:rPr>
          <w:spacing w:val="-23"/>
          <w:w w:val="95"/>
        </w:rPr>
        <w:t> </w:t>
      </w:r>
      <w:r>
        <w:rPr>
          <w:w w:val="95"/>
        </w:rPr>
        <w:t>Orçamento</w:t>
        <w:tab/>
      </w:r>
      <w:r>
        <w:rPr/>
        <w:t>217.297,16</w:t>
      </w:r>
    </w:p>
    <w:p>
      <w:pPr>
        <w:pStyle w:val="BodyText"/>
        <w:spacing w:before="6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00" w:h="16840"/>
          <w:pgMar w:top="0" w:bottom="280" w:left="0" w:right="1680"/>
        </w:sectPr>
      </w:pPr>
    </w:p>
    <w:p>
      <w:pPr>
        <w:pStyle w:val="BodyText"/>
        <w:ind w:left="26"/>
      </w:pPr>
      <w:r>
        <w:rPr>
          <w:w w:val="90"/>
        </w:rPr>
        <w:t>Total</w:t>
      </w:r>
    </w:p>
    <w:p>
      <w:pPr>
        <w:pStyle w:val="BodyText"/>
        <w:ind w:left="26"/>
      </w:pPr>
      <w:r>
        <w:rPr/>
        <w:br w:type="column"/>
      </w:r>
      <w:r>
        <w:rPr>
          <w:w w:val="95"/>
        </w:rPr>
        <w:t>17.941.498,16 100,00 % </w:t>
      </w:r>
      <w:r>
        <w:rPr>
          <w:spacing w:val="-4"/>
          <w:w w:val="95"/>
        </w:rPr>
        <w:t>Total</w:t>
      </w:r>
    </w:p>
    <w:p>
      <w:pPr>
        <w:pStyle w:val="BodyText"/>
        <w:ind w:left="26"/>
      </w:pPr>
      <w:r>
        <w:rPr/>
        <w:br w:type="column"/>
      </w:r>
      <w:r>
        <w:rPr/>
        <w:t>17.941.498,16 100,00 %</w:t>
      </w:r>
    </w:p>
    <w:p>
      <w:pPr>
        <w:spacing w:after="0"/>
        <w:sectPr>
          <w:type w:val="continuous"/>
          <w:pgSz w:w="11900" w:h="16840"/>
          <w:pgMar w:top="0" w:bottom="280" w:left="0" w:right="1680"/>
          <w:cols w:num="3" w:equalWidth="0">
            <w:col w:w="348" w:space="3016"/>
            <w:col w:w="2048" w:space="3017"/>
            <w:col w:w="1791"/>
          </w:cols>
        </w:sectPr>
      </w:pPr>
    </w:p>
    <w:p>
      <w:pPr>
        <w:pStyle w:val="BodyText"/>
        <w:spacing w:before="9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00" w:h="16840"/>
          <w:pgMar w:top="0" w:bottom="280" w:left="0" w:right="1680"/>
        </w:sectPr>
      </w:pPr>
    </w:p>
    <w:p>
      <w:pPr>
        <w:pStyle w:val="BodyText"/>
        <w:spacing w:line="244" w:lineRule="auto" w:before="79"/>
        <w:ind w:left="510" w:right="76"/>
        <w:jc w:val="center"/>
      </w:pP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4" w:lineRule="auto" w:before="79"/>
        <w:ind w:left="484" w:right="390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sectPr>
      <w:type w:val="continuous"/>
      <w:pgSz w:w="11900" w:h="16840"/>
      <w:pgMar w:top="0" w:bottom="280" w:left="0" w:right="1680"/>
      <w:cols w:num="2" w:equalWidth="0">
        <w:col w:w="3048" w:space="274"/>
        <w:col w:w="68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>
      <w:spacing w:before="80"/>
    </w:pPr>
    <w:rPr>
      <w:rFonts w:ascii="Arial" w:hAnsi="Arial" w:eastAsia="Arial" w:cs="Arial"/>
      <w:sz w:val="16"/>
      <w:szCs w:val="16"/>
      <w:lang w:val="pt-PT" w:eastAsia="pt-PT" w:bidi="pt-PT"/>
    </w:rPr>
  </w:style>
  <w:style w:styleId="Heading1" w:type="paragraph">
    <w:name w:val="Heading 1"/>
    <w:basedOn w:val="Normal"/>
    <w:uiPriority w:val="1"/>
    <w:qFormat/>
    <w:pPr>
      <w:ind w:left="14"/>
      <w:outlineLvl w:val="1"/>
    </w:pPr>
    <w:rPr>
      <w:rFonts w:ascii="Arial" w:hAnsi="Arial" w:eastAsia="Arial" w:cs="Arial"/>
      <w:sz w:val="19"/>
      <w:szCs w:val="19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7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2021-01-18T14:48:47Z</dcterms:created>
  <dcterms:modified xsi:type="dcterms:W3CDTF">2021-01-18T14:48:47Z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